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59F2" w14:textId="4F15F07D" w:rsidR="00F75A45" w:rsidRPr="00894205" w:rsidRDefault="00424F5D" w:rsidP="00424F5D">
      <w:pPr>
        <w:pStyle w:val="NoSpacing"/>
        <w:jc w:val="both"/>
        <w:rPr>
          <w:rFonts w:ascii="Times New Roman" w:eastAsia="Times New Roman" w:hAnsi="Times New Roman" w:cs="Times New Roman"/>
          <w:sz w:val="24"/>
          <w:lang w:val="sq-AL"/>
        </w:rPr>
      </w:pPr>
      <w:r w:rsidRPr="00894205">
        <w:rPr>
          <w:noProof/>
          <w:lang w:val="sq-AL"/>
        </w:rPr>
        <w:drawing>
          <wp:inline distT="0" distB="0" distL="0" distR="0" wp14:anchorId="680AC199" wp14:editId="6621E32B">
            <wp:extent cx="5782337" cy="771525"/>
            <wp:effectExtent l="0" t="0" r="0" b="0"/>
            <wp:docPr id="8" name="Picture 8" descr="A red and black shield with a black eag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nd black shield with a black eagle&#10;&#10;Description automatically generated"/>
                    <pic:cNvPicPr/>
                  </pic:nvPicPr>
                  <pic:blipFill rotWithShape="1">
                    <a:blip r:embed="rId7"/>
                    <a:srcRect b="37658"/>
                    <a:stretch/>
                  </pic:blipFill>
                  <pic:spPr bwMode="auto">
                    <a:xfrm>
                      <a:off x="0" y="0"/>
                      <a:ext cx="5791937" cy="772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2D2FCC" w14:textId="782F712E" w:rsidR="00F75A45" w:rsidRPr="00F75A45" w:rsidRDefault="00F75A45" w:rsidP="00F75A45">
      <w:pPr>
        <w:spacing w:after="0" w:line="240" w:lineRule="auto"/>
        <w:ind w:right="453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F75A45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REPUBLIKA E SHQIPËRISË</w:t>
      </w:r>
    </w:p>
    <w:p w14:paraId="428F9128" w14:textId="77777777" w:rsidR="00F75A45" w:rsidRPr="00F75A45" w:rsidRDefault="00F75A45" w:rsidP="00F75A45">
      <w:pPr>
        <w:spacing w:after="0" w:line="240" w:lineRule="auto"/>
        <w:ind w:right="453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F75A45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MINISTRIA E FINANCAVE</w:t>
      </w:r>
    </w:p>
    <w:p w14:paraId="667277E9" w14:textId="18C08287" w:rsidR="00424F5D" w:rsidRPr="00894205" w:rsidRDefault="00424F5D" w:rsidP="00424F5D">
      <w:pPr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506F23C0" w14:textId="0859B160" w:rsidR="00424F5D" w:rsidRPr="00F75A45" w:rsidRDefault="00424F5D" w:rsidP="00424F5D">
      <w:pPr>
        <w:spacing w:after="3" w:line="240" w:lineRule="auto"/>
        <w:ind w:left="10" w:right="-15" w:hanging="10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14:ligatures w14:val="none"/>
        </w:rPr>
      </w:pPr>
      <w:r w:rsidRPr="00F75A45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14:ligatures w14:val="none"/>
        </w:rPr>
        <w:t xml:space="preserve">RAPORT VJETOR PËR VITIN 2025, PËR PROCESIN E KONSULTIMIT PUBLIK TË REALIZUAR NGA MINISTRIA E FINANCAVE </w:t>
      </w:r>
    </w:p>
    <w:p w14:paraId="52BB4B20" w14:textId="77777777" w:rsidR="00424F5D" w:rsidRPr="00894205" w:rsidRDefault="00424F5D" w:rsidP="00424F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</w:p>
    <w:p w14:paraId="763DE450" w14:textId="77777777" w:rsidR="00424F5D" w:rsidRPr="00894205" w:rsidRDefault="00424F5D" w:rsidP="00424F5D">
      <w:pPr>
        <w:spacing w:after="54" w:line="228" w:lineRule="auto"/>
        <w:ind w:left="721" w:right="8" w:hanging="3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894205">
        <w:rPr>
          <w:rFonts w:ascii="Times New Roman" w:eastAsia="Times New Roman" w:hAnsi="Times New Roman" w:cs="Times New Roman"/>
          <w:b/>
          <w:color w:val="000000"/>
          <w:kern w:val="0"/>
          <w:sz w:val="26"/>
          <w14:ligatures w14:val="none"/>
        </w:rPr>
        <w:t>1.</w:t>
      </w:r>
      <w:r w:rsidRPr="00894205">
        <w:rPr>
          <w:rFonts w:ascii="Arial" w:eastAsia="Arial" w:hAnsi="Arial" w:cs="Arial"/>
          <w:b/>
          <w:color w:val="000000"/>
          <w:kern w:val="0"/>
          <w:sz w:val="26"/>
          <w14:ligatures w14:val="none"/>
        </w:rPr>
        <w:t xml:space="preserve"> </w:t>
      </w:r>
      <w:r w:rsidRPr="0089420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14:ligatures w14:val="none"/>
        </w:rPr>
        <w:t>Përmbledhja ekzekutive</w:t>
      </w: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14:ligatures w14:val="none"/>
        </w:rPr>
        <w:t xml:space="preserve"> (pasqyra e statistikave kryesore mbi konsultimet e kryera me mësimet e nxjerra, sfidat dhe mundësitë)</w:t>
      </w:r>
      <w:r w:rsidRPr="00894205">
        <w:rPr>
          <w:rFonts w:ascii="Times New Roman" w:eastAsia="Times New Roman" w:hAnsi="Times New Roman" w:cs="Times New Roman"/>
          <w:b/>
          <w:color w:val="000000"/>
          <w:kern w:val="0"/>
          <w:sz w:val="26"/>
          <w14:ligatures w14:val="none"/>
        </w:rPr>
        <w:t xml:space="preserve"> </w:t>
      </w:r>
    </w:p>
    <w:p w14:paraId="3F6CBB29" w14:textId="77777777" w:rsidR="00424F5D" w:rsidRPr="00894205" w:rsidRDefault="00424F5D" w:rsidP="00424F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</w:p>
    <w:p w14:paraId="4954F587" w14:textId="43834B0B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Gjatë vitit 2025, Ministria e Financave, ka realizuar konsultime publike për projektatet në zbatim të nenit 1 të ligjit nr.146/2014 “</w:t>
      </w:r>
      <w:r w:rsidRPr="008942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Për Njoftimin dhe Konsultimin Publik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”, i cili përcakton procesin e konsultimit publik për projektligjet dhe projektdokumentet strategjike kombëtare. Ministria e Financave ka  miratuar </w:t>
      </w:r>
      <w:r w:rsidR="005723D3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akte objekt i konsultimit publik, dhe ka realizuar në masën </w:t>
      </w:r>
      <w:r w:rsidR="00DF5D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100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% konsultimin publik për projektaktet e miratuara për periudhën e raportimit. </w:t>
      </w:r>
    </w:p>
    <w:p w14:paraId="5B5C0984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4E6061C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Ministria e Financave, ka publikuar pas procesit të konsultimit publik të projektakteve si më poshtë detajuar, edhe raportet përkatëse individuale për rezultatet e konsultimit publik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footnoteReference w:id="1"/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 xml:space="preserve"> 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për secilin projektakt të publikuar në Regjistër, duke përmbushur parimin e reagueshmërisë dhe llogaridhënies së këtij procesi. </w:t>
      </w:r>
    </w:p>
    <w:p w14:paraId="3785555C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1288790" w14:textId="77777777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Krahasuar me vitet e kaluara performanca institucionale e MF është me rritje, duke shënuar progres në rritjen e numrit të akteve të konsultuara ashtu si dhe në cilësinë e procesit. Metodat e përzgjedhura për konsultim dhe targetimi i duhur i palëve të interesit ka ndikuar në hartimin e politikave dhe legjislacionit më cilësor, gjithëpërfshirës dhe efikas. </w:t>
      </w:r>
    </w:p>
    <w:p w14:paraId="5AE54A52" w14:textId="77777777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9610FAC" w14:textId="77777777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Përmirësimet në këtë proces janë tregues i zhvillimit të një qasje të integruar për planifikimin dhe menaxhimin e konsultimeve publike për projektaktet dhe politikat e Ministrisë së Financave, si një hap thelbësor për përmirësimin e transparencës dhe llogaridhënies. </w:t>
      </w:r>
    </w:p>
    <w:p w14:paraId="0BA2F1D5" w14:textId="77777777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52442A3" w14:textId="77777777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Dixhitalizimi i procesit të konsultimit ka bërë të mundur rritjen e pjesmarrjes së publikut nëpërmjet Regjistrit Elektronik të Njoftimit dhe Konsultimit Publik, por sfidë mbetet rritja e reagueshmërisë dhe dhënies së komenteve nga publiku dhe grupet e interesit  në proces. </w:t>
      </w:r>
    </w:p>
    <w:p w14:paraId="5B1D1AEA" w14:textId="77777777" w:rsidR="00424F5D" w:rsidRPr="00894205" w:rsidRDefault="00424F5D" w:rsidP="00424F5D">
      <w:pPr>
        <w:tabs>
          <w:tab w:val="left" w:pos="720"/>
          <w:tab w:val="left" w:pos="2565"/>
        </w:tabs>
        <w:spacing w:after="54" w:line="276" w:lineRule="auto"/>
        <w:ind w:right="8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ab/>
      </w: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ab/>
      </w:r>
    </w:p>
    <w:p w14:paraId="069E6997" w14:textId="77777777" w:rsidR="00424F5D" w:rsidRPr="00894205" w:rsidRDefault="00424F5D" w:rsidP="00424F5D">
      <w:pPr>
        <w:spacing w:after="54" w:line="276" w:lineRule="auto"/>
        <w:ind w:right="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6456C86" w14:textId="77777777" w:rsidR="00424F5D" w:rsidRPr="00894205" w:rsidRDefault="00424F5D" w:rsidP="00424F5D">
      <w:pPr>
        <w:spacing w:after="54" w:line="276" w:lineRule="auto"/>
        <w:ind w:right="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060F9AB" w14:textId="77777777" w:rsidR="00424F5D" w:rsidRPr="00894205" w:rsidRDefault="00424F5D" w:rsidP="00424F5D">
      <w:pPr>
        <w:spacing w:after="54" w:line="276" w:lineRule="auto"/>
        <w:ind w:right="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356D650" w14:textId="77777777" w:rsidR="00424F5D" w:rsidRPr="00894205" w:rsidRDefault="00424F5D" w:rsidP="00424F5D">
      <w:pPr>
        <w:spacing w:after="54" w:line="276" w:lineRule="auto"/>
        <w:ind w:right="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5686F97" w14:textId="77777777" w:rsidR="00424F5D" w:rsidRPr="00894205" w:rsidRDefault="00424F5D" w:rsidP="00424F5D">
      <w:pPr>
        <w:spacing w:after="54" w:line="276" w:lineRule="auto"/>
        <w:ind w:right="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28DB3FF" w14:textId="77777777" w:rsidR="00424F5D" w:rsidRPr="00894205" w:rsidRDefault="00424F5D" w:rsidP="00424F5D">
      <w:pPr>
        <w:spacing w:after="54" w:line="276" w:lineRule="auto"/>
        <w:ind w:right="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13F03B1" w14:textId="77777777" w:rsidR="00424F5D" w:rsidRPr="00894205" w:rsidRDefault="00424F5D" w:rsidP="00424F5D">
      <w:pPr>
        <w:numPr>
          <w:ilvl w:val="0"/>
          <w:numId w:val="1"/>
        </w:numPr>
        <w:spacing w:after="2" w:line="276" w:lineRule="auto"/>
        <w:ind w:left="244" w:right="-10" w:hanging="24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Analiza e konsultimeve të kryera </w:t>
      </w:r>
    </w:p>
    <w:p w14:paraId="497D9722" w14:textId="77777777" w:rsidR="00424F5D" w:rsidRPr="00894205" w:rsidRDefault="00424F5D" w:rsidP="00424F5D">
      <w:pPr>
        <w:numPr>
          <w:ilvl w:val="1"/>
          <w:numId w:val="1"/>
        </w:numPr>
        <w:spacing w:after="43" w:line="276" w:lineRule="auto"/>
        <w:ind w:left="422" w:right="-10" w:hanging="42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 xml:space="preserve">Numri i përgjithshëm i akteve për të cilat janë kryer konsultimet publike </w:t>
      </w:r>
    </w:p>
    <w:p w14:paraId="721BDA86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319B4B74" w14:textId="77777777" w:rsidR="00424F5D" w:rsidRPr="00894205" w:rsidRDefault="00424F5D" w:rsidP="00424F5D">
      <w:pPr>
        <w:numPr>
          <w:ilvl w:val="2"/>
          <w:numId w:val="1"/>
        </w:numPr>
        <w:spacing w:after="54" w:line="276" w:lineRule="auto"/>
        <w:ind w:left="1324" w:right="8" w:hanging="60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Cili ishte numri i përgjithshëm i akteve të miratuara në një vit të caktuar? </w:t>
      </w:r>
    </w:p>
    <w:p w14:paraId="2DAA75E3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F7949A5" w14:textId="674F36C6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Akte të miratuara për periudhën e vitit 202</w:t>
      </w:r>
      <w:r w:rsidR="00B0596B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 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nga Ministria e Financave, ka qenë në total </w:t>
      </w: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="00B0596B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akte.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Nga këto akte nga Ministria e Financave janë miratuar 6</w:t>
      </w:r>
      <w:r w:rsidR="00B0596B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akte, ndërsa 1</w:t>
      </w:r>
      <w:r w:rsidR="00B0596B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prej tyre janë bashkëpropozim.</w:t>
      </w:r>
    </w:p>
    <w:p w14:paraId="6B0B4A61" w14:textId="77777777" w:rsidR="00424F5D" w:rsidRPr="00894205" w:rsidRDefault="00424F5D" w:rsidP="00424F5D">
      <w:pPr>
        <w:spacing w:after="9" w:line="276" w:lineRule="auto"/>
        <w:jc w:val="both"/>
        <w:rPr>
          <w:rFonts w:ascii="Times New Roman" w:eastAsia="Times New Roman" w:hAnsi="Times New Roman" w:cs="Times New Roman"/>
          <w:strike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strike/>
          <w:color w:val="000000"/>
          <w:kern w:val="0"/>
          <w:sz w:val="24"/>
          <w:szCs w:val="24"/>
          <w14:ligatures w14:val="none"/>
        </w:rPr>
        <w:t xml:space="preserve"> </w:t>
      </w:r>
    </w:p>
    <w:p w14:paraId="2B316CCA" w14:textId="77777777" w:rsidR="00424F5D" w:rsidRPr="00894205" w:rsidRDefault="00424F5D" w:rsidP="00424F5D">
      <w:pPr>
        <w:numPr>
          <w:ilvl w:val="1"/>
          <w:numId w:val="1"/>
        </w:numPr>
        <w:spacing w:after="54" w:line="276" w:lineRule="auto"/>
        <w:ind w:right="8" w:hanging="60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Sa akte janë konsultuar dhe sa jo? </w:t>
      </w:r>
    </w:p>
    <w:p w14:paraId="22275D79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</w:t>
      </w:r>
    </w:p>
    <w:p w14:paraId="5B39A77F" w14:textId="59C366F6" w:rsidR="00424F5D" w:rsidRPr="00894205" w:rsidRDefault="00424F5D" w:rsidP="00424F5D">
      <w:pPr>
        <w:spacing w:after="19" w:line="276" w:lineRule="auto"/>
        <w:ind w:right="11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Gjithsej</w:t>
      </w:r>
      <w:r w:rsidRPr="0089420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="005723D3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projektakte kanë qenë objekt konsultimi dhe janë konsultuar në masën 100% nëpërmjet metodave të ndryshme konsultative, dhe  </w:t>
      </w:r>
      <w:r w:rsidR="009674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100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% nëpërmjet RENJKP.  </w:t>
      </w:r>
    </w:p>
    <w:p w14:paraId="4DDBAA59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F22F1CB" w14:textId="6504B2B0" w:rsidR="00424F5D" w:rsidRPr="00894205" w:rsidRDefault="00424F5D" w:rsidP="00424F5D">
      <w:pPr>
        <w:spacing w:after="74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Aktet të miratuara për periudhën dhe për të cilat janë zhvilluar konsultime publike,  duke u publikuar në RENJK, duke përmbushur parakushtin për vlerësim të procesit të konsultimit publik janë</w:t>
      </w:r>
      <w:r w:rsidR="00692F28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si m</w:t>
      </w:r>
      <w:r w:rsidR="003E5C19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ë</w:t>
      </w:r>
      <w:r w:rsidR="00692F28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posht</w:t>
      </w:r>
      <w:r w:rsidR="003E5C19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ë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</w:p>
    <w:p w14:paraId="7AA2F44D" w14:textId="77777777" w:rsidR="00424F5D" w:rsidRPr="00894205" w:rsidRDefault="00424F5D" w:rsidP="00424F5D">
      <w:pPr>
        <w:spacing w:after="74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8"/>
          <w:szCs w:val="8"/>
          <w14:ligatures w14:val="none"/>
        </w:rPr>
      </w:pPr>
    </w:p>
    <w:p w14:paraId="2AEB6920" w14:textId="555D89B8" w:rsidR="00197E5E" w:rsidRPr="00894205" w:rsidRDefault="00197E5E" w:rsidP="00197E5E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_Hlk188000651"/>
      <w:bookmarkStart w:id="1" w:name="_Hlk170908893"/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Projektligji “Për rivlerësimin e pasurisë së paluajtshme”;</w:t>
      </w:r>
    </w:p>
    <w:p w14:paraId="44719F24" w14:textId="789E4AB1" w:rsidR="00197E5E" w:rsidRPr="00894205" w:rsidRDefault="00197E5E" w:rsidP="00197E5E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" w:name="_Hlk219115806"/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Projektvendimi “Për hartimin e Strategjisë Kombëtare Kundër Mashtrimit, për Mbrojtjen e Interesave Financiare të Bashkimit Evropian, për periudhën 2025-2030” dhe të planit të saj të veprimit”;</w:t>
      </w:r>
    </w:p>
    <w:bookmarkEnd w:id="0"/>
    <w:p w14:paraId="0D90D875" w14:textId="512D6F42" w:rsidR="005723D3" w:rsidRPr="00894205" w:rsidRDefault="00424F5D" w:rsidP="005723D3">
      <w:pPr>
        <w:numPr>
          <w:ilvl w:val="0"/>
          <w:numId w:val="3"/>
        </w:numPr>
        <w:spacing w:after="0" w:line="276" w:lineRule="auto"/>
        <w:ind w:right="1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Projektvendimi </w:t>
      </w:r>
      <w:r w:rsidR="00197E5E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“</w:t>
      </w:r>
      <w:r w:rsidR="00B93422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Për miratimin e Strategjisë Afatmesme të Menaxhimit të Borxhit 2026-2030</w:t>
      </w:r>
      <w:r w:rsidR="00197E5E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”</w:t>
      </w:r>
      <w:r w:rsidR="005723D3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bookmarkEnd w:id="1"/>
    <w:bookmarkEnd w:id="2"/>
    <w:p w14:paraId="7752A5C3" w14:textId="77777777" w:rsidR="00197E5E" w:rsidRPr="00894205" w:rsidRDefault="00197E5E" w:rsidP="005723D3">
      <w:pPr>
        <w:spacing w:after="10" w:line="276" w:lineRule="auto"/>
        <w:ind w:right="1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9AAA276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2.1.3. Sa ligje me raporte VNR-je janë konsultuar? </w:t>
      </w:r>
    </w:p>
    <w:p w14:paraId="2227839A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037103BC" w14:textId="2AB4E7D3" w:rsidR="00424F5D" w:rsidRPr="00894205" w:rsidRDefault="00424F5D" w:rsidP="00424F5D">
      <w:pPr>
        <w:spacing w:after="0" w:line="276" w:lineRule="auto"/>
        <w:ind w:right="1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723D3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Dy</w:t>
      </w:r>
      <w:r w:rsidR="00CE1E58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vendimet e miratimit të dokumentave strategjikë nuk ishin objekt </w:t>
      </w:r>
      <w:bookmarkStart w:id="3" w:name="_Hlk187240070"/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procesit të vlerësimit të ndikimit</w:t>
      </w:r>
      <w:bookmarkEnd w:id="3"/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sipas përcaktimeve të pikës 45/1 të rregullores së Këshillit të Ministrave.</w:t>
      </w:r>
    </w:p>
    <w:p w14:paraId="21A8EDEF" w14:textId="77777777" w:rsidR="00424F5D" w:rsidRPr="00894205" w:rsidRDefault="00424F5D" w:rsidP="00424F5D">
      <w:pPr>
        <w:spacing w:after="0" w:line="276" w:lineRule="auto"/>
        <w:ind w:right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32878A" w14:textId="77777777" w:rsidR="00CE1E58" w:rsidRPr="00894205" w:rsidRDefault="00CE1E58" w:rsidP="00CE1E58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" w:name="_Hlk219283581"/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Projektvendimi “Për hartimin e Strategjisë Kombëtare Kundër Mashtrimit, për Mbrojtjen e Interesave Financiare të Bashkimit Evropian, për periudhën 2025-2030” dhe të planit të saj të veprimit”</w:t>
      </w:r>
      <w:bookmarkEnd w:id="4"/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6886BA4F" w14:textId="02895783" w:rsidR="00CE1E58" w:rsidRPr="00894205" w:rsidRDefault="00CE1E58" w:rsidP="00CE1E58">
      <w:pPr>
        <w:numPr>
          <w:ilvl w:val="0"/>
          <w:numId w:val="12"/>
        </w:numPr>
        <w:spacing w:after="0" w:line="276" w:lineRule="auto"/>
        <w:ind w:right="1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Projektvendimi “</w:t>
      </w:r>
      <w:bookmarkStart w:id="5" w:name="_Hlk219278103"/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Për miratimin e Strategjisë Afatmesme të Menaxhimit të Borxhit 2026-2030”</w:t>
      </w:r>
      <w:bookmarkEnd w:id="5"/>
      <w:r w:rsidR="005723D3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7B6BF5D" w14:textId="77777777" w:rsidR="00CE1E58" w:rsidRPr="00894205" w:rsidRDefault="00CE1E58" w:rsidP="00CE1E58">
      <w:pPr>
        <w:spacing w:after="10" w:line="276" w:lineRule="auto"/>
        <w:ind w:left="720" w:right="1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42C2ACE" w14:textId="2B3106E9" w:rsidR="00424F5D" w:rsidRPr="00894205" w:rsidRDefault="00424F5D" w:rsidP="00424F5D">
      <w:pPr>
        <w:spacing w:after="0" w:line="276" w:lineRule="auto"/>
        <w:ind w:right="1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Ndërsa projektligj</w:t>
      </w:r>
      <w:r w:rsidR="00CE1E58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bookmarkStart w:id="6" w:name="_Hlk219278076"/>
      <w:r w:rsidR="00CE1E58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“Për rivlerësimin e pasurisë së paluajtshme”</w:t>
      </w:r>
      <w:bookmarkEnd w:id="6"/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CE1E58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kaluar në procesin e vlerësimit të ndikimit.</w:t>
      </w:r>
    </w:p>
    <w:p w14:paraId="3D72FB5A" w14:textId="77777777" w:rsidR="00424F5D" w:rsidRPr="00894205" w:rsidRDefault="00424F5D" w:rsidP="00424F5D">
      <w:pPr>
        <w:spacing w:after="0" w:line="276" w:lineRule="auto"/>
        <w:ind w:right="1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F216F5A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lastRenderedPageBreak/>
        <w:t xml:space="preserve">2.1.4. Për sa akte në a) Programin Analitik, b) PKIE, c) dokumente strategjike të sektorit, janë përdorur kriteret/përjashtimet nga konsultimet publike? Cilat janë arsyet kryesore për të mos u konsultuar (nëse ka të tilla)? </w:t>
      </w:r>
    </w:p>
    <w:p w14:paraId="40B9D0B9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33891AF4" w14:textId="03AEC5E6" w:rsidR="00424F5D" w:rsidRPr="00894205" w:rsidRDefault="00424F5D" w:rsidP="00424F5D">
      <w:pPr>
        <w:spacing w:after="0" w:line="276" w:lineRule="auto"/>
        <w:ind w:left="67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Ministria e Financave ka parashikuar në Programin Analitik miratimin e </w:t>
      </w:r>
      <w:r w:rsidR="00CE1E58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="00F80247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akteve, ku për </w:t>
      </w: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BC3A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F80247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prej tyre aplikohen përjashtimet e parashikuara në shkronjën “c”,  të nenit 4, të ligjit “</w:t>
      </w:r>
      <w:r w:rsidRPr="008942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Për Njoftimin dhe Konsultimin Publik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”.  </w:t>
      </w:r>
    </w:p>
    <w:p w14:paraId="09EE74F0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C08E3A5" w14:textId="333EC73F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Për aktet  e parashikuara në dokumentat strategjikë sektorial/kombëtar, kriteret përjashtuese</w:t>
      </w:r>
      <w:r w:rsidR="00CF1B31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nuk 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janë aplikuar. </w:t>
      </w:r>
    </w:p>
    <w:p w14:paraId="1C11FD39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92C23BC" w14:textId="77777777" w:rsidR="00424F5D" w:rsidRPr="00894205" w:rsidRDefault="00424F5D" w:rsidP="00424F5D">
      <w:pPr>
        <w:spacing w:after="121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2.1.5. Cila ishte struktura e akteve të konsultuara (sa projektligje, VKM, udhëzime, etj.)? </w:t>
      </w:r>
    </w:p>
    <w:p w14:paraId="2D63CDB2" w14:textId="77777777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strike/>
          <w:color w:val="000000"/>
          <w:kern w:val="0"/>
          <w:sz w:val="12"/>
          <w:szCs w:val="12"/>
          <w14:ligatures w14:val="none"/>
        </w:rPr>
      </w:pPr>
    </w:p>
    <w:p w14:paraId="68D6FCCE" w14:textId="3C835A8D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Janë konsultuar 3 dokumente strategjik</w:t>
      </w:r>
      <w:r w:rsidR="00C513B1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dhe </w:t>
      </w:r>
      <w:r w:rsidR="00F80247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projektligj.</w:t>
      </w:r>
    </w:p>
    <w:p w14:paraId="1AAD4E32" w14:textId="77777777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strike/>
          <w:color w:val="000000"/>
          <w:kern w:val="0"/>
          <w:sz w:val="24"/>
          <w:szCs w:val="24"/>
          <w14:ligatures w14:val="none"/>
        </w:rPr>
      </w:pPr>
    </w:p>
    <w:p w14:paraId="059D8219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4"/>
          <w:szCs w:val="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0694B9D3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2.1.6.  A është përmirësuar situata në krahasim me vitin e kaluar (cilësoni)? </w:t>
      </w:r>
    </w:p>
    <w:p w14:paraId="12A984BC" w14:textId="77777777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0C55D2CD" w14:textId="77777777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Procesi i konsultimit publik në krahasim me vitin e kaluar është përmirësuar. Për këtë vit është rritur cilësia e menaxhimit të këtij procesi, si dhe targetimi i duhur i aktorëve të përfshirë. Metodat e përzgjedhura për konsultimin janë diversifikuar si dhe konstatohet rritje e numrit të pjesmarrësve në proces. </w:t>
      </w:r>
    </w:p>
    <w:p w14:paraId="5384C648" w14:textId="77777777" w:rsidR="00424F5D" w:rsidRPr="00894205" w:rsidRDefault="00424F5D" w:rsidP="00424F5D">
      <w:pPr>
        <w:spacing w:after="1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7B7A0C2" w14:textId="77777777" w:rsidR="00424F5D" w:rsidRPr="00894205" w:rsidRDefault="00424F5D" w:rsidP="00424F5D">
      <w:pPr>
        <w:spacing w:after="43" w:line="276" w:lineRule="auto"/>
        <w:ind w:left="-5" w:right="-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 xml:space="preserve">2.2. Metodat e konsultimit </w:t>
      </w:r>
    </w:p>
    <w:p w14:paraId="4A9EFBD5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2.2.1. Cilat ishin metodat më të përdorura të konsultimit? (Jepni numrin e konsultimeve të kryera për secilën metodë - regjistri elektronik, posta elektronike, faqe interneti, takime publike, komitete këshillimore, etj.) </w:t>
      </w:r>
    </w:p>
    <w:p w14:paraId="502FED8C" w14:textId="77777777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9B90586" w14:textId="2B357D09" w:rsidR="00424F5D" w:rsidRPr="00894205" w:rsidRDefault="00424F5D" w:rsidP="00424F5D">
      <w:pPr>
        <w:spacing w:after="190" w:line="276" w:lineRule="auto"/>
        <w:ind w:left="67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Të gjitha projektaktet e miratuara për vitin 202</w:t>
      </w:r>
      <w:r w:rsidR="00F80247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objekt i konsultimit publik, janë konsultuar nëpërmjet metodave të ndryshme të konsultimit: </w:t>
      </w:r>
    </w:p>
    <w:p w14:paraId="2A15D493" w14:textId="77777777" w:rsidR="00424F5D" w:rsidRPr="00894205" w:rsidRDefault="00424F5D" w:rsidP="00424F5D">
      <w:pPr>
        <w:spacing w:after="19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Metodat e tjera të përzgjedhura për konsultim publik janë:</w:t>
      </w:r>
    </w:p>
    <w:p w14:paraId="2288DEA6" w14:textId="09146A15" w:rsidR="00424F5D" w:rsidRPr="00894205" w:rsidRDefault="00424F5D" w:rsidP="00424F5D">
      <w:pPr>
        <w:numPr>
          <w:ilvl w:val="0"/>
          <w:numId w:val="4"/>
        </w:numPr>
        <w:spacing w:after="190" w:line="276" w:lineRule="auto"/>
        <w:ind w:right="1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Regjistri Elektronik të Njoftimit dhe Konsultimit Publik për </w:t>
      </w:r>
      <w:r w:rsid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akte;</w:t>
      </w:r>
    </w:p>
    <w:p w14:paraId="77D25893" w14:textId="167C8803" w:rsidR="00424F5D" w:rsidRPr="00894205" w:rsidRDefault="00424F5D" w:rsidP="00424F5D">
      <w:pPr>
        <w:numPr>
          <w:ilvl w:val="0"/>
          <w:numId w:val="4"/>
        </w:numPr>
        <w:spacing w:after="190" w:line="276" w:lineRule="auto"/>
        <w:ind w:right="1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Konsultimi nëpërmjet postës elektronike është aplikuar për </w:t>
      </w:r>
      <w:r w:rsid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akte;</w:t>
      </w:r>
    </w:p>
    <w:p w14:paraId="5B9CEA2C" w14:textId="4595D4B1" w:rsidR="00424F5D" w:rsidRPr="00894205" w:rsidRDefault="00424F5D" w:rsidP="00424F5D">
      <w:pPr>
        <w:numPr>
          <w:ilvl w:val="0"/>
          <w:numId w:val="4"/>
        </w:numPr>
        <w:spacing w:after="190" w:line="276" w:lineRule="auto"/>
        <w:ind w:right="1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Konsultim nëpërmjet mekanizmit IPMG </w:t>
      </w:r>
      <w:r w:rsid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akte;</w:t>
      </w:r>
    </w:p>
    <w:p w14:paraId="2DD0940B" w14:textId="3D8DE1D4" w:rsidR="00424F5D" w:rsidRPr="00894205" w:rsidRDefault="00424F5D" w:rsidP="00424F5D">
      <w:pPr>
        <w:numPr>
          <w:ilvl w:val="0"/>
          <w:numId w:val="4"/>
        </w:numPr>
        <w:spacing w:after="5" w:line="276" w:lineRule="auto"/>
        <w:ind w:right="1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Takime konsultative me prezencë </w:t>
      </w:r>
      <w:r w:rsid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="00F80247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akte.</w:t>
      </w:r>
    </w:p>
    <w:p w14:paraId="35CC3FB7" w14:textId="77777777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7B52186" w14:textId="77777777" w:rsidR="00424F5D" w:rsidRPr="00894205" w:rsidRDefault="00424F5D" w:rsidP="00424F5D">
      <w:pPr>
        <w:spacing w:after="5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BE7579A" wp14:editId="0258018B">
            <wp:extent cx="4664682" cy="2826689"/>
            <wp:effectExtent l="0" t="0" r="3175" b="12065"/>
            <wp:docPr id="206964041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AD40DE8" w14:textId="77777777" w:rsidR="00424F5D" w:rsidRPr="00894205" w:rsidRDefault="00424F5D" w:rsidP="00424F5D">
      <w:pPr>
        <w:spacing w:after="5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42683C7" w14:textId="77777777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49A44EE" w14:textId="77777777" w:rsidR="00424F5D" w:rsidRPr="00894205" w:rsidRDefault="00424F5D" w:rsidP="00424F5D">
      <w:pPr>
        <w:spacing w:after="54" w:line="276" w:lineRule="auto"/>
        <w:ind w:right="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2.2.2 Cila metodë konsultimi gjeneroi numrin më të madh të komenteve? </w:t>
      </w:r>
    </w:p>
    <w:p w14:paraId="6D533DEB" w14:textId="77777777" w:rsidR="00424F5D" w:rsidRPr="00894205" w:rsidRDefault="00424F5D" w:rsidP="00424F5D">
      <w:pPr>
        <w:spacing w:after="54" w:line="276" w:lineRule="auto"/>
        <w:ind w:left="1080" w:right="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</w:pPr>
    </w:p>
    <w:p w14:paraId="2D7B49F2" w14:textId="5CD4A8C9" w:rsidR="00424F5D" w:rsidRPr="00894205" w:rsidRDefault="00424F5D" w:rsidP="00424F5D">
      <w:pPr>
        <w:spacing w:after="15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Të gjitha metodat e konsultimit kanë gjeneruar komente. Ndërkohë që numrin më të lartë të komenteve e ka gjeneruar metoda e konsultimit në </w:t>
      </w:r>
      <w:r w:rsidR="00C513B1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RENJKP</w:t>
      </w: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D0A034" w14:textId="77777777" w:rsidR="00424F5D" w:rsidRPr="00894205" w:rsidRDefault="00424F5D" w:rsidP="00424F5D">
      <w:pPr>
        <w:spacing w:after="1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79EDC2E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2.2.3.  A organizoi institucioni konsultime paraprake në fazat e hershme të hartimit? Nëse po, në sa raste? </w:t>
      </w:r>
    </w:p>
    <w:p w14:paraId="2471C321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3B578A8D" w14:textId="1E6CAF85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Për projektligjin </w:t>
      </w:r>
      <w:bookmarkStart w:id="7" w:name="_Hlk219283494"/>
      <w:r w:rsidR="005723D3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“Për rivlerësimin e pasurisë së paluajtshme”</w:t>
      </w:r>
      <w:bookmarkEnd w:id="7"/>
      <w:r w:rsidR="00532291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dhe</w:t>
      </w: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për projektvendimin, </w:t>
      </w:r>
      <w:r w:rsidR="00532291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“Për miratimin e Strategjisë Afatmesme të Menaxhimit të Borxhit 2026-2030”</w:t>
      </w: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janë zhvilluar konsultime në fazën e draftimit të tyre. </w:t>
      </w:r>
    </w:p>
    <w:p w14:paraId="286B1A97" w14:textId="77777777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FE7E4C1" w14:textId="77777777" w:rsidR="00424F5D" w:rsidRPr="00894205" w:rsidRDefault="00424F5D" w:rsidP="00424F5D">
      <w:pPr>
        <w:spacing w:after="43" w:line="276" w:lineRule="auto"/>
        <w:ind w:left="-5" w:right="-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 xml:space="preserve">2.3. Kohëzgjatja e konsultimeve </w:t>
      </w:r>
    </w:p>
    <w:p w14:paraId="6E3F880B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1652F639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2.3.1. Sa konsultime ishin të hapura për 20 ditë pune siç kërkohet nga ligji? Cila ishte periudha më e gjatë apo më e shkurtër e kohëzgjatjes së konsultimeve? </w:t>
      </w:r>
    </w:p>
    <w:p w14:paraId="07BCB5AA" w14:textId="77777777" w:rsidR="00424F5D" w:rsidRPr="00894205" w:rsidRDefault="00424F5D" w:rsidP="00424F5D">
      <w:pPr>
        <w:spacing w:after="23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D91DCC6" w14:textId="77777777" w:rsidR="00424F5D" w:rsidRPr="00894205" w:rsidRDefault="00424F5D" w:rsidP="00424F5D">
      <w:pPr>
        <w:spacing w:after="190" w:line="276" w:lineRule="auto"/>
        <w:ind w:left="67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Konsultimet publike në RENJK kanë qenë të hapura për të paktën 20 ditë pune, duke përmbushur afatin e kërkuar nga ligji. </w:t>
      </w:r>
    </w:p>
    <w:p w14:paraId="0FCF839B" w14:textId="77777777" w:rsidR="00424F5D" w:rsidRPr="00894205" w:rsidRDefault="00424F5D" w:rsidP="00424F5D">
      <w:pPr>
        <w:numPr>
          <w:ilvl w:val="2"/>
          <w:numId w:val="2"/>
        </w:numPr>
        <w:spacing w:after="54" w:line="276" w:lineRule="auto"/>
        <w:ind w:left="720" w:right="8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Cila ishte kohëzgjatja mesatare e konsultimit? </w:t>
      </w:r>
    </w:p>
    <w:p w14:paraId="26F88589" w14:textId="77777777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727A366" w14:textId="77777777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Për aktet e sipërcituara kohëzgjatja mesatare e konsultimit ka qenë 1 muaj (20-21 ditë pune). </w:t>
      </w:r>
    </w:p>
    <w:p w14:paraId="36B45699" w14:textId="77777777" w:rsidR="00424F5D" w:rsidRPr="00894205" w:rsidRDefault="00424F5D" w:rsidP="00424F5D">
      <w:pPr>
        <w:spacing w:after="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3F6AFD8E" w14:textId="77777777" w:rsidR="00424F5D" w:rsidRPr="00894205" w:rsidRDefault="00424F5D" w:rsidP="00424F5D">
      <w:pPr>
        <w:numPr>
          <w:ilvl w:val="2"/>
          <w:numId w:val="2"/>
        </w:numPr>
        <w:spacing w:after="54" w:line="276" w:lineRule="auto"/>
        <w:ind w:left="720" w:right="8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A është përmirësuar situata në krahasim me vitet e kaluara? </w:t>
      </w:r>
    </w:p>
    <w:p w14:paraId="068DFF7D" w14:textId="77777777" w:rsidR="00424F5D" w:rsidRPr="00894205" w:rsidRDefault="00424F5D" w:rsidP="00424F5D">
      <w:pPr>
        <w:spacing w:after="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108F1C27" w14:textId="77777777" w:rsidR="00424F5D" w:rsidRPr="00894205" w:rsidRDefault="00424F5D" w:rsidP="00424F5D">
      <w:pPr>
        <w:spacing w:after="19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Situata është përmirësuar krahasuar me vitin e kaluar. Duke krahasuar me vitet e shkuara, në Regjistrin Elektronik për Konsultimet Publike ka pasur më shumë komente nga grupe interesi, të cilat lidhen me akte që do të miratohen në periudhën e ardhshme të raportimit.</w:t>
      </w:r>
    </w:p>
    <w:p w14:paraId="5D37D16B" w14:textId="77777777" w:rsidR="00424F5D" w:rsidRPr="00894205" w:rsidRDefault="00424F5D" w:rsidP="00424F5D">
      <w:pPr>
        <w:numPr>
          <w:ilvl w:val="1"/>
          <w:numId w:val="2"/>
        </w:numPr>
        <w:spacing w:after="43" w:line="276" w:lineRule="auto"/>
        <w:ind w:right="-10" w:hanging="36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 xml:space="preserve">. Palët e interesuara të përfshira </w:t>
      </w:r>
    </w:p>
    <w:p w14:paraId="4169DA20" w14:textId="77777777" w:rsidR="00424F5D" w:rsidRPr="00894205" w:rsidRDefault="00424F5D" w:rsidP="00424F5D">
      <w:pPr>
        <w:spacing w:after="43" w:line="276" w:lineRule="auto"/>
        <w:ind w:left="360" w:right="-1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4E1D8D1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2.4.1 Sa aktorë të jashtëm, jo-qeveritarë morën pjesë për hartimin e akteve si anëtarë të caktuar të grupeve të punës/organeve këshillimore në vitin e caktuar? </w:t>
      </w:r>
    </w:p>
    <w:p w14:paraId="37477F93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4CF60657" w14:textId="07F01C79" w:rsidR="00424F5D" w:rsidRPr="00894205" w:rsidRDefault="00424F5D" w:rsidP="00424F5D">
      <w:pPr>
        <w:pStyle w:val="ListParagraph"/>
        <w:numPr>
          <w:ilvl w:val="0"/>
          <w:numId w:val="8"/>
        </w:numPr>
        <w:spacing w:after="54" w:line="276" w:lineRule="auto"/>
        <w:ind w:right="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Në procesin e hartimit dhe konsultimit për proje</w:t>
      </w:r>
      <w:r w:rsidR="00D01B2C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tligj</w:t>
      </w:r>
      <w:r w:rsidR="003F5EDA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bookmarkStart w:id="8" w:name="_Hlk219283978"/>
      <w:r w:rsidR="003F5EDA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“Për rivlerësimin e pasurisë së paluajtshme”</w:t>
      </w:r>
      <w:bookmarkEnd w:id="8"/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u angazhuan u angazhuan </w:t>
      </w:r>
      <w:r w:rsidR="00FD1D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aktorë të jashtëm.</w:t>
      </w:r>
    </w:p>
    <w:p w14:paraId="155E0C94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DA77CBD" w14:textId="2BAA9998" w:rsidR="00D01B2C" w:rsidRPr="00894205" w:rsidRDefault="00424F5D" w:rsidP="00424F5D">
      <w:pPr>
        <w:pStyle w:val="ListParagraph"/>
        <w:numPr>
          <w:ilvl w:val="0"/>
          <w:numId w:val="7"/>
        </w:num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Në procesin e hartimit dhe konsultimit për </w:t>
      </w: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projektvendimin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F5EDA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“Për miratimin e Strategjisë Afatmesme të Menaxhimit të Borxhit 2026-2030” </w:t>
      </w:r>
      <w:r w:rsidR="00D01B2C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angazhuan 4 aktor</w:t>
      </w:r>
      <w:r w:rsidR="003E5C19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ë</w:t>
      </w:r>
      <w:r w:rsidR="00D01B2C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r w:rsidR="003E5C19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ë</w:t>
      </w:r>
      <w:r w:rsidR="00D01B2C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jasht</w:t>
      </w:r>
      <w:r w:rsidR="003E5C19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ë</w:t>
      </w:r>
      <w:r w:rsidR="00D01B2C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m.</w:t>
      </w:r>
    </w:p>
    <w:p w14:paraId="38A0B890" w14:textId="77777777" w:rsidR="00D01B2C" w:rsidRPr="00894205" w:rsidRDefault="00D01B2C" w:rsidP="00D01B2C">
      <w:pPr>
        <w:pStyle w:val="ListParagraph"/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4153C7E" w14:textId="6398673E" w:rsidR="00424F5D" w:rsidRPr="00894205" w:rsidRDefault="00D01B2C" w:rsidP="00424F5D">
      <w:pPr>
        <w:pStyle w:val="ListParagraph"/>
        <w:numPr>
          <w:ilvl w:val="0"/>
          <w:numId w:val="7"/>
        </w:num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Nd</w:t>
      </w:r>
      <w:r w:rsidR="003E5C19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ë</w:t>
      </w: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rsa,</w:t>
      </w:r>
      <w:r w:rsidR="003F5EDA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</w:t>
      </w:r>
      <w:r w:rsidR="003E5C19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ë</w:t>
      </w:r>
      <w:r w:rsidR="003F5EDA"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 projektvendimin “Për hartimin e Strategjisë Kombëtare Kundër Mashtrimit, për Mbrojtjen e Interesave Financiare të Bashkimit Evropian, për periudhën 2025-2030” dhe të planit të saj të veprimit”</w:t>
      </w:r>
      <w:r w:rsidR="00424F5D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F5EDA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nuk u angazhuan aktor</w:t>
      </w:r>
      <w:r w:rsidR="003E5C19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ë</w:t>
      </w:r>
      <w:r w:rsidR="003F5EDA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</w:t>
      </w:r>
      <w:r w:rsidR="003E5C19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ë</w:t>
      </w:r>
      <w:r w:rsidR="003F5EDA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jasht</w:t>
      </w:r>
      <w:r w:rsidR="003E5C19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ë</w:t>
      </w:r>
      <w:r w:rsidR="003F5EDA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="009702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dhe nuk u gjenruan komente në RENJKP</w:t>
      </w:r>
      <w:r w:rsidR="003F5EDA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DBE867D" w14:textId="77777777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13A45A6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2.4.2 Cila ishte struktura e anëtarëve të jashtëm të grupeve të punës (ekspertë individualë, OSHC, kompani, etj.) </w:t>
      </w:r>
    </w:p>
    <w:p w14:paraId="538EBBC8" w14:textId="77777777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5C6D6A1" w14:textId="43D5A646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9" w:name="_Hlk188002036"/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Struktura e anëtarëve të jashtëm, që kanë marrë pjesë në hartimin dhe konsultimin e projektligjit </w:t>
      </w:r>
      <w:bookmarkEnd w:id="9"/>
      <w:r w:rsidR="00CF1B31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“Për rivlerësimin e pasurisë së paluajtshme”, 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 qënë si më poshtë:</w:t>
      </w:r>
    </w:p>
    <w:p w14:paraId="58249256" w14:textId="77777777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DBBC14F" w14:textId="3F7AA172" w:rsidR="0054341A" w:rsidRPr="00764A65" w:rsidRDefault="0054341A" w:rsidP="00764A65">
      <w:pPr>
        <w:pStyle w:val="ListParagraph"/>
        <w:numPr>
          <w:ilvl w:val="0"/>
          <w:numId w:val="14"/>
        </w:numPr>
        <w:spacing w:after="5" w:line="276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Dhoma Amerikane e Tregtisë</w:t>
      </w:r>
    </w:p>
    <w:p w14:paraId="4CECA7D0" w14:textId="42C07608" w:rsidR="00894205" w:rsidRPr="00764A65" w:rsidRDefault="0054341A" w:rsidP="00764A65">
      <w:pPr>
        <w:pStyle w:val="ListParagraph"/>
        <w:numPr>
          <w:ilvl w:val="0"/>
          <w:numId w:val="14"/>
        </w:num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Shoqata Kombëtare e Ndërmjetësve të Pasurive të Paluajtshme të Shqipërisë (NAREA)</w:t>
      </w:r>
    </w:p>
    <w:p w14:paraId="2838434F" w14:textId="51B8FD16" w:rsidR="00424F5D" w:rsidRPr="00894205" w:rsidRDefault="00894205" w:rsidP="00424F5D">
      <w:pPr>
        <w:pStyle w:val="ListParagraph"/>
        <w:numPr>
          <w:ilvl w:val="0"/>
          <w:numId w:val="14"/>
        </w:num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Individë</w:t>
      </w:r>
      <w:r w:rsidR="0054341A" w:rsidRPr="00894205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 </w:t>
      </w:r>
    </w:p>
    <w:p w14:paraId="2C810102" w14:textId="77777777" w:rsidR="0054341A" w:rsidRPr="00894205" w:rsidRDefault="0054341A" w:rsidP="0054341A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19F6F64" w14:textId="77777777" w:rsidR="0054341A" w:rsidRPr="00894205" w:rsidRDefault="0054341A" w:rsidP="0054341A">
      <w:pPr>
        <w:pStyle w:val="ListParagraph"/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17AEF1D" w14:textId="2E56325E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Struktura e anëtarëve të jashtëm, që kanë marrë pjesë në hartimin dhe konsultimin e </w:t>
      </w:r>
      <w:r w:rsidR="00CF1B31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projektvendimit</w:t>
      </w:r>
      <w:r w:rsidRPr="00894205">
        <w:t xml:space="preserve"> 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“</w:t>
      </w:r>
      <w:r w:rsidR="00CF1B31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Për miratimin e Strategjisë Afatmesme të Menaxhimit të Borxhit 2026-2030”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ka qënë si më poshtë:</w:t>
      </w:r>
    </w:p>
    <w:p w14:paraId="3433F4F7" w14:textId="77777777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7B160D" w14:textId="2115131B" w:rsidR="00CF1B31" w:rsidRPr="00894205" w:rsidRDefault="00CF1B31" w:rsidP="00424F5D">
      <w:pPr>
        <w:numPr>
          <w:ilvl w:val="0"/>
          <w:numId w:val="9"/>
        </w:numPr>
        <w:spacing w:after="5" w:line="276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  <w:t>Banka e Shqipërisë</w:t>
      </w:r>
      <w:r w:rsidRPr="00894205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;</w:t>
      </w:r>
    </w:p>
    <w:p w14:paraId="54D0B4C2" w14:textId="3FF8706B" w:rsidR="00CF1B31" w:rsidRPr="00894205" w:rsidRDefault="00CF1B31" w:rsidP="00424F5D">
      <w:pPr>
        <w:numPr>
          <w:ilvl w:val="0"/>
          <w:numId w:val="9"/>
        </w:numPr>
        <w:spacing w:after="5" w:line="276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  <w:t>Banka Botërore;</w:t>
      </w:r>
    </w:p>
    <w:p w14:paraId="47080F32" w14:textId="134D4A45" w:rsidR="00424F5D" w:rsidRPr="00894205" w:rsidRDefault="00CF1B31" w:rsidP="00424F5D">
      <w:pPr>
        <w:numPr>
          <w:ilvl w:val="0"/>
          <w:numId w:val="9"/>
        </w:numPr>
        <w:spacing w:after="5" w:line="276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FMN</w:t>
      </w:r>
      <w:r w:rsidR="00D01B2C" w:rsidRPr="00894205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14:ligatures w14:val="none"/>
        </w:rPr>
        <w:t>.</w:t>
      </w:r>
    </w:p>
    <w:p w14:paraId="1B3BBA12" w14:textId="77777777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E0551CF" w14:textId="77777777" w:rsidR="00424F5D" w:rsidRPr="00894205" w:rsidRDefault="00424F5D" w:rsidP="00424F5D">
      <w:pPr>
        <w:spacing w:after="5" w:line="276" w:lineRule="auto"/>
        <w:ind w:right="11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D205B07" w14:textId="77777777" w:rsidR="00424F5D" w:rsidRPr="00894205" w:rsidRDefault="00424F5D" w:rsidP="00424F5D">
      <w:pPr>
        <w:spacing w:after="5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4D50EA71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2.4.3 Sa palë të interesuara morën pjesë/dhanë komente në konsultimet e hapura të realizuara për projektaktet në vitin e caktuar? </w:t>
      </w:r>
    </w:p>
    <w:p w14:paraId="343ED528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</w:p>
    <w:p w14:paraId="69842CC8" w14:textId="6335BCB4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56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Në </w:t>
      </w:r>
      <w:r w:rsidR="00D01B2C" w:rsidRPr="00B56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Pr="00B56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projektaktet e konsultuara, ka patur në total  </w:t>
      </w:r>
      <w:r w:rsidR="00B566F7" w:rsidRPr="00B56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</w:t>
      </w:r>
      <w:r w:rsidRPr="00B56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palë interesi të përfshirë në procesin e konsultimit, të cilët </w:t>
      </w:r>
      <w:r w:rsidR="00B566F7" w:rsidRPr="00B56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B56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prej tyre dhanë komente për përmirësimin e metejshëm të akteve të paraqitura për konsultim.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0EB6D8EA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6614"/>
        <w:gridCol w:w="1304"/>
        <w:gridCol w:w="1432"/>
      </w:tblGrid>
      <w:tr w:rsidR="00424F5D" w:rsidRPr="00894205" w14:paraId="415CEDAC" w14:textId="77777777" w:rsidTr="00A57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4" w:type="dxa"/>
          </w:tcPr>
          <w:p w14:paraId="17AC3DD6" w14:textId="77777777" w:rsidR="00424F5D" w:rsidRPr="00894205" w:rsidRDefault="00424F5D" w:rsidP="00174532">
            <w:pPr>
              <w:spacing w:after="54" w:line="276" w:lineRule="auto"/>
              <w:ind w:right="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942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Titulli</w:t>
            </w:r>
          </w:p>
        </w:tc>
        <w:tc>
          <w:tcPr>
            <w:tcW w:w="1304" w:type="dxa"/>
          </w:tcPr>
          <w:p w14:paraId="45CCF064" w14:textId="77777777" w:rsidR="00424F5D" w:rsidRPr="00894205" w:rsidRDefault="00424F5D" w:rsidP="00174532">
            <w:pPr>
              <w:spacing w:after="54" w:line="276" w:lineRule="auto"/>
              <w:ind w:right="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942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Palë interesi pjesmarrës </w:t>
            </w:r>
          </w:p>
        </w:tc>
        <w:tc>
          <w:tcPr>
            <w:tcW w:w="1432" w:type="dxa"/>
          </w:tcPr>
          <w:p w14:paraId="622F0843" w14:textId="77777777" w:rsidR="00424F5D" w:rsidRPr="00894205" w:rsidRDefault="00424F5D" w:rsidP="00174532">
            <w:pPr>
              <w:spacing w:after="54" w:line="276" w:lineRule="auto"/>
              <w:ind w:right="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942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Palë interesi kontribues </w:t>
            </w:r>
          </w:p>
        </w:tc>
      </w:tr>
      <w:tr w:rsidR="00424F5D" w:rsidRPr="00894205" w14:paraId="52D59045" w14:textId="77777777" w:rsidTr="00A5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4" w:type="dxa"/>
          </w:tcPr>
          <w:p w14:paraId="2516B893" w14:textId="569C766E" w:rsidR="00424F5D" w:rsidRPr="00894205" w:rsidRDefault="00A57EEC" w:rsidP="00174532">
            <w:pPr>
              <w:spacing w:after="54" w:line="276" w:lineRule="auto"/>
              <w:ind w:right="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9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Projektligji “Për rivlerësimin e pasurisë së paluajtshme”</w:t>
            </w:r>
          </w:p>
        </w:tc>
        <w:tc>
          <w:tcPr>
            <w:tcW w:w="1304" w:type="dxa"/>
          </w:tcPr>
          <w:p w14:paraId="73B3B81D" w14:textId="6C299C1E" w:rsidR="00424F5D" w:rsidRPr="00894205" w:rsidRDefault="00FD1D09" w:rsidP="00174532">
            <w:pPr>
              <w:spacing w:after="54" w:line="276" w:lineRule="auto"/>
              <w:ind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2" w:type="dxa"/>
          </w:tcPr>
          <w:p w14:paraId="50AB3322" w14:textId="30AC0684" w:rsidR="00424F5D" w:rsidRPr="00894205" w:rsidRDefault="004C7B9D" w:rsidP="00174532">
            <w:pPr>
              <w:spacing w:after="54" w:line="276" w:lineRule="auto"/>
              <w:ind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942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</w:tr>
      <w:tr w:rsidR="00424F5D" w:rsidRPr="00894205" w14:paraId="74821459" w14:textId="77777777" w:rsidTr="00A57EE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4" w:type="dxa"/>
          </w:tcPr>
          <w:p w14:paraId="660C76A3" w14:textId="74869064" w:rsidR="00424F5D" w:rsidRPr="00894205" w:rsidRDefault="00A57EEC" w:rsidP="00174532">
            <w:pPr>
              <w:spacing w:after="54" w:line="276" w:lineRule="auto"/>
              <w:ind w:right="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9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Projektvendimi “Për miratimin e Strategjisë Afatmesme të Menaxhimit të Borxhit 2026-2030”</w:t>
            </w:r>
          </w:p>
        </w:tc>
        <w:tc>
          <w:tcPr>
            <w:tcW w:w="1304" w:type="dxa"/>
          </w:tcPr>
          <w:p w14:paraId="073047AD" w14:textId="7E33FE62" w:rsidR="00424F5D" w:rsidRPr="00894205" w:rsidRDefault="004C7B9D" w:rsidP="00174532">
            <w:pPr>
              <w:spacing w:after="54" w:line="276" w:lineRule="auto"/>
              <w:ind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942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14:paraId="623A6002" w14:textId="5A496980" w:rsidR="00424F5D" w:rsidRPr="00894205" w:rsidRDefault="00BD5326" w:rsidP="00174532">
            <w:pPr>
              <w:spacing w:after="54" w:line="276" w:lineRule="auto"/>
              <w:ind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942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</w:tr>
      <w:tr w:rsidR="00424F5D" w:rsidRPr="00894205" w14:paraId="39B2E8BA" w14:textId="77777777" w:rsidTr="00A5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4" w:type="dxa"/>
          </w:tcPr>
          <w:p w14:paraId="0E353C70" w14:textId="6F1AF957" w:rsidR="00424F5D" w:rsidRPr="00894205" w:rsidRDefault="00A57EEC" w:rsidP="00174532">
            <w:pPr>
              <w:spacing w:after="54" w:line="276" w:lineRule="auto"/>
              <w:ind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“Për hartimin e Strategjisë Kombëtare Kundër Mashtrimit, për Mbrojtjen e Interesave Financiare të Bashkimit Evropian, për periudhën 2025-2030”</w:t>
            </w:r>
          </w:p>
        </w:tc>
        <w:tc>
          <w:tcPr>
            <w:tcW w:w="1304" w:type="dxa"/>
          </w:tcPr>
          <w:p w14:paraId="2B5C4791" w14:textId="6C2D99C6" w:rsidR="00424F5D" w:rsidRPr="00894205" w:rsidRDefault="00BD5326" w:rsidP="00174532">
            <w:pPr>
              <w:spacing w:after="54" w:line="276" w:lineRule="auto"/>
              <w:ind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942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2" w:type="dxa"/>
          </w:tcPr>
          <w:p w14:paraId="0E3245F8" w14:textId="0FD6C75C" w:rsidR="00424F5D" w:rsidRPr="00894205" w:rsidRDefault="00BD5326" w:rsidP="00174532">
            <w:pPr>
              <w:spacing w:after="54" w:line="276" w:lineRule="auto"/>
              <w:ind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942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</w:tr>
      <w:tr w:rsidR="00424F5D" w:rsidRPr="00894205" w14:paraId="1074BD83" w14:textId="77777777" w:rsidTr="00A57EE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4" w:type="dxa"/>
          </w:tcPr>
          <w:p w14:paraId="72565B19" w14:textId="77777777" w:rsidR="00424F5D" w:rsidRPr="00894205" w:rsidRDefault="00424F5D" w:rsidP="00174532">
            <w:pPr>
              <w:spacing w:after="54" w:line="276" w:lineRule="auto"/>
              <w:ind w:right="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942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04" w:type="dxa"/>
          </w:tcPr>
          <w:p w14:paraId="75F1CB49" w14:textId="7594A974" w:rsidR="00424F5D" w:rsidRPr="00894205" w:rsidRDefault="00FD1D09" w:rsidP="00174532">
            <w:pPr>
              <w:spacing w:after="54" w:line="276" w:lineRule="auto"/>
              <w:ind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</w:tcPr>
          <w:p w14:paraId="58109D70" w14:textId="39C2A473" w:rsidR="00424F5D" w:rsidRPr="00894205" w:rsidRDefault="00424F5D" w:rsidP="00174532">
            <w:pPr>
              <w:spacing w:after="54" w:line="276" w:lineRule="auto"/>
              <w:ind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942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4C7B9D" w:rsidRPr="008942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</w:tr>
    </w:tbl>
    <w:p w14:paraId="69970CAD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2CE2AA1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2.4.5 </w:t>
      </w: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A është përmirësuar situata në krahasim me vitet e kaluara? </w:t>
      </w:r>
    </w:p>
    <w:p w14:paraId="1A463DE7" w14:textId="77777777" w:rsidR="00424F5D" w:rsidRPr="00894205" w:rsidRDefault="00424F5D" w:rsidP="00424F5D">
      <w:pPr>
        <w:spacing w:after="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13C1917A" w14:textId="77777777" w:rsidR="00424F5D" w:rsidRPr="00894205" w:rsidRDefault="00424F5D" w:rsidP="00424F5D">
      <w:pPr>
        <w:spacing w:after="1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Ka përmirësime lidhur me indeksion sasior, është rritur shkalla e konsultimeve publike të realizuara nga Ministria e Financave. Rritja e interaktivitetit të RENJK dhe përdorimi i instrumentave digjital në proces ka rritur aksesin e grupeve të interesit dhe publikut në vendimarrje, duke u krijuar mundësinë për të dërguar komentet dhe reagimet e tyre për aktet e publikuara për konsultim. </w:t>
      </w:r>
    </w:p>
    <w:p w14:paraId="03F69E89" w14:textId="77777777" w:rsidR="00424F5D" w:rsidRPr="00894205" w:rsidRDefault="00424F5D" w:rsidP="00424F5D">
      <w:pPr>
        <w:spacing w:after="1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14"/>
          <w:szCs w:val="14"/>
          <w14:ligatures w14:val="none"/>
        </w:rPr>
      </w:pPr>
    </w:p>
    <w:p w14:paraId="272C9D80" w14:textId="77777777" w:rsidR="00424F5D" w:rsidRPr="00894205" w:rsidRDefault="00424F5D" w:rsidP="00424F5D">
      <w:pPr>
        <w:spacing w:after="1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Në krahasim me vitin e kaluar situata ka pasur përmirësime të dukshme lidhur me realizimin e indeksit të procesit të konsultimit. Megjithatë, interesi i publikut në procesin e konsultimit publik vijon të jetë ende i ulët për akte të caktuara.  </w:t>
      </w:r>
    </w:p>
    <w:p w14:paraId="75A30606" w14:textId="77777777" w:rsidR="00424F5D" w:rsidRPr="00894205" w:rsidRDefault="00424F5D" w:rsidP="00424F5D">
      <w:pPr>
        <w:spacing w:after="1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A2AFBCF" w14:textId="77777777" w:rsidR="00424F5D" w:rsidRPr="00894205" w:rsidRDefault="00424F5D" w:rsidP="00424F5D">
      <w:pPr>
        <w:spacing w:after="43" w:line="276" w:lineRule="auto"/>
        <w:ind w:left="-5" w:right="-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2.5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 xml:space="preserve"> </w:t>
      </w:r>
      <w:r w:rsidRPr="0089420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 xml:space="preserve">. Rekomandimet dhe komentet e marra </w:t>
      </w:r>
    </w:p>
    <w:p w14:paraId="2E0AEFC5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2.5.1. Sa është numri i rekomandimeve dhe komenteve të marra gjithsej dhe mesatarja për çdo konsultim?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 xml:space="preserve"> 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ab/>
      </w: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</w:p>
    <w:p w14:paraId="749D1B8D" w14:textId="77777777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A36D8E6" w14:textId="2F2E2E10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64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Nga procesi i konsultimit publik të </w:t>
      </w:r>
      <w:r w:rsidR="00D01B2C" w:rsidRPr="00764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Pr="00764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akteve janë mbledhur </w:t>
      </w:r>
      <w:r w:rsidR="00764A65" w:rsidRPr="00764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="00FC0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="00C654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64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komente gjithsej.</w:t>
      </w:r>
    </w:p>
    <w:p w14:paraId="352BBFF4" w14:textId="77777777" w:rsidR="00424F5D" w:rsidRPr="00894205" w:rsidRDefault="00424F5D" w:rsidP="00424F5D">
      <w:pPr>
        <w:spacing w:after="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A6FC9A8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2.5.2. Sa prej tyre u pranuan, u pranuan pjesërisht ose u refuzuan? </w:t>
      </w:r>
    </w:p>
    <w:p w14:paraId="5D981FF3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00E9907" w14:textId="623D54BF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Numri total i komenteve të pranuara plotësisht është 4 komente. Numri total i komenteve të pranuara pjesërisht është  </w:t>
      </w:r>
      <w:r w:rsidR="00A241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komente, dhe i atyre të refuzuara është </w:t>
      </w:r>
      <w:r w:rsidR="00A241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="00FC0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komente.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 xml:space="preserve"> </w:t>
      </w:r>
    </w:p>
    <w:p w14:paraId="3B115CA9" w14:textId="77777777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</w:pPr>
    </w:p>
    <w:p w14:paraId="72EDFACD" w14:textId="77777777" w:rsidR="00C65478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vertAlign w:val="subscript"/>
          <w14:ligatures w14:val="none"/>
        </w:rPr>
        <w:lastRenderedPageBreak/>
        <w:drawing>
          <wp:anchor distT="0" distB="0" distL="114300" distR="114300" simplePos="0" relativeHeight="251658240" behindDoc="0" locked="0" layoutInCell="1" allowOverlap="1" wp14:anchorId="3F6B91E5" wp14:editId="7A7C05FF">
            <wp:simplePos x="904875" y="342900"/>
            <wp:positionH relativeFrom="column">
              <wp:align>left</wp:align>
            </wp:positionH>
            <wp:positionV relativeFrom="paragraph">
              <wp:align>top</wp:align>
            </wp:positionV>
            <wp:extent cx="4457700" cy="2228850"/>
            <wp:effectExtent l="0" t="0" r="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695CBC45" w14:textId="77777777" w:rsidR="00C65478" w:rsidRDefault="00C65478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41CA54D" w14:textId="2EBB7AA4" w:rsidR="00424F5D" w:rsidRPr="00894205" w:rsidRDefault="00C65478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 w:type="textWrapping" w:clear="all"/>
      </w:r>
    </w:p>
    <w:p w14:paraId="79FE2FA5" w14:textId="77777777" w:rsidR="00424F5D" w:rsidRPr="00894205" w:rsidRDefault="00424F5D" w:rsidP="00424F5D">
      <w:pPr>
        <w:spacing w:after="0" w:line="276" w:lineRule="auto"/>
        <w:ind w:right="994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2776C162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2.5.3. Cila është tendenca nëse krahasohet me vitet e kaluara? </w:t>
      </w:r>
    </w:p>
    <w:p w14:paraId="11E58A92" w14:textId="77777777" w:rsidR="00424F5D" w:rsidRPr="00894205" w:rsidRDefault="00424F5D" w:rsidP="00424F5D">
      <w:pPr>
        <w:spacing w:after="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E01BED5" w14:textId="77777777" w:rsidR="00424F5D" w:rsidRPr="00894205" w:rsidRDefault="00424F5D" w:rsidP="00424F5D">
      <w:pPr>
        <w:spacing w:after="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Konstatohet një ndryshim i trendit të mbledhjes së komenteve, ku metodat elektronike të konsultimit nëpërmjet postës email apo RENJKP gjenerojnë numër të konsiderueshëm komentesh. Gjithashtu, dhe mekanizmat konsultativ këshillimor janë konsultuar gjithashtu edhe nëpërmjet </w:t>
      </w:r>
    </w:p>
    <w:p w14:paraId="1402C946" w14:textId="77777777" w:rsidR="00424F5D" w:rsidRPr="00894205" w:rsidRDefault="00424F5D" w:rsidP="00424F5D">
      <w:pPr>
        <w:spacing w:after="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postës elektronike. Takimet konsultative janë zhvilluar në një shkallë më të ulët krahasuar me vitet e mëparshme ku ishte forma kryesore e konsultimit publik. </w:t>
      </w:r>
    </w:p>
    <w:p w14:paraId="49F03861" w14:textId="77777777" w:rsidR="00424F5D" w:rsidRPr="00894205" w:rsidRDefault="00424F5D" w:rsidP="00424F5D">
      <w:pPr>
        <w:spacing w:after="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FAFB2B0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2.5.4.Sa raporte të VNR-së janë ndryshuar/përditësuar në bazë të informacionit/të dhënave të marra gjatë konsultimit publik? </w:t>
      </w:r>
    </w:p>
    <w:p w14:paraId="3266CE6C" w14:textId="77777777" w:rsidR="00424F5D" w:rsidRPr="00894205" w:rsidRDefault="00424F5D" w:rsidP="00424F5D">
      <w:pPr>
        <w:spacing w:after="12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D09DFD3" w14:textId="77777777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Asnjë raport VNR nuk është ndryshuar pas procesit të konsultimit publik, pasi aktet e miratuara nuk janë objekt i VNR. </w:t>
      </w:r>
    </w:p>
    <w:p w14:paraId="6EDC6C47" w14:textId="77777777" w:rsidR="00424F5D" w:rsidRPr="00894205" w:rsidRDefault="00424F5D" w:rsidP="00424F5D">
      <w:pPr>
        <w:spacing w:after="1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1932DCB3" w14:textId="77777777" w:rsidR="00424F5D" w:rsidRPr="00894205" w:rsidRDefault="00424F5D" w:rsidP="00424F5D">
      <w:pPr>
        <w:spacing w:after="43" w:line="276" w:lineRule="auto"/>
        <w:ind w:left="-5" w:right="-10" w:hanging="10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 xml:space="preserve">2.6. Raportet mbi rezultatet e konsultimit </w:t>
      </w:r>
    </w:p>
    <w:p w14:paraId="4F499113" w14:textId="77777777" w:rsidR="00424F5D" w:rsidRPr="00894205" w:rsidRDefault="00424F5D" w:rsidP="00424F5D">
      <w:pPr>
        <w:spacing w:after="43" w:line="276" w:lineRule="auto"/>
        <w:ind w:right="-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44F5BC5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2.6.1. Sa raporte konsultimi publikoi institucioni?</w:t>
      </w:r>
    </w:p>
    <w:p w14:paraId="0380748E" w14:textId="77777777" w:rsidR="00424F5D" w:rsidRPr="00894205" w:rsidRDefault="00424F5D" w:rsidP="00424F5D">
      <w:pPr>
        <w:spacing w:after="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20412D8" w14:textId="30597EAF" w:rsidR="00424F5D" w:rsidRPr="00894205" w:rsidRDefault="00424F5D" w:rsidP="00424F5D">
      <w:pPr>
        <w:spacing w:after="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Ministria e Financave gjatë vitit 202</w:t>
      </w:r>
      <w:r w:rsidR="00BD5326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pas mbylljes së procesit të konsultimit publik sipas afatit referuar ligjit nr.146/2014 ka publikuar Raportet </w:t>
      </w:r>
      <w:r w:rsidR="00764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ndividuale për rezultatet e konsultimit publik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footnoteReference w:id="2"/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për </w:t>
      </w:r>
      <w:r w:rsidR="00BD5326"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projektakte të publikuar në Regjistër. </w:t>
      </w:r>
    </w:p>
    <w:p w14:paraId="2153EF91" w14:textId="77777777" w:rsidR="00424F5D" w:rsidRPr="00894205" w:rsidRDefault="00424F5D" w:rsidP="00424F5D">
      <w:pPr>
        <w:spacing w:after="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C1A5456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2.6.2. Nëse disa nuk u publikuan, cilat janë arsyet? </w:t>
      </w:r>
    </w:p>
    <w:p w14:paraId="092225BC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"/>
          <w:szCs w:val="2"/>
          <w14:ligatures w14:val="none"/>
        </w:rPr>
      </w:pPr>
    </w:p>
    <w:p w14:paraId="7E0E6380" w14:textId="71A609F4" w:rsidR="00424F5D" w:rsidRPr="00894205" w:rsidRDefault="00C01C12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Për të gjitha projektaktet e publikuara në RENJKP, janë hartuar dhe publikuar edhe raportet Individuale të Konsultimit Publik.</w:t>
      </w:r>
    </w:p>
    <w:p w14:paraId="090C2D46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 </w:t>
      </w:r>
    </w:p>
    <w:p w14:paraId="33318F00" w14:textId="77777777" w:rsidR="00424F5D" w:rsidRPr="00894205" w:rsidRDefault="00424F5D" w:rsidP="00424F5D">
      <w:pPr>
        <w:spacing w:after="2" w:line="276" w:lineRule="auto"/>
        <w:ind w:left="-10" w:right="-10" w:hanging="5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2.7.</w:t>
      </w:r>
      <w:r w:rsidRPr="008942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Vetëvlerësimi i institucionit në lidhje me Indeksin e cilësisë së performancës institucionale në përputhje me kërkesat e ligjit për njoftimin dhe konsultimin publik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(Jepni informacion për rezultatin mesatar për të gjitha aktet e institucionit, subjekt të konsultimeve publike, bazuar në pikët e rezultateve në Shtojcën </w:t>
      </w: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5c) </w:t>
      </w:r>
    </w:p>
    <w:p w14:paraId="0F47D22A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563C98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Në përfundim, bazuar në vlerësimin e cilësisë së performancës institucionale sipas metodologjisë Sigma, Ministria e Financave ka performuar me një mesatare pikëzimi cilësie për  aktet e konsultuara  nga 8 pikë</w:t>
      </w:r>
      <w:r w:rsidRPr="0089420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8942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maksimale. </w:t>
      </w:r>
    </w:p>
    <w:p w14:paraId="745F7AEB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FB7233" w14:textId="7540EFB2" w:rsidR="00424F5D" w:rsidRPr="00894205" w:rsidRDefault="00424F5D" w:rsidP="00424F5D">
      <w:pPr>
        <w:spacing w:after="2" w:line="276" w:lineRule="auto"/>
        <w:ind w:right="-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 akte janë konsultuar me cilësinë maksimale 8 pikë. </w:t>
      </w:r>
    </w:p>
    <w:p w14:paraId="0258C681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2C3EA47" w14:textId="77777777" w:rsidR="00424F5D" w:rsidRPr="00894205" w:rsidRDefault="00424F5D" w:rsidP="00424F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0FF6E1A" w14:textId="77777777" w:rsidR="00424F5D" w:rsidRPr="00894205" w:rsidRDefault="00424F5D" w:rsidP="00424F5D">
      <w:pPr>
        <w:spacing w:after="54" w:line="276" w:lineRule="auto"/>
        <w:ind w:left="-10" w:right="8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3.</w:t>
      </w:r>
      <w:r w:rsidRPr="00894205">
        <w:rPr>
          <w:rFonts w:ascii="Times New Roman" w:eastAsia="Arial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 xml:space="preserve"> </w:t>
      </w:r>
      <w:r w:rsidRPr="008942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Sfidat dhe mundësitë për të ardhmen</w:t>
      </w: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89420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(Cilat janë sfidat kryesore në organizimin dhe zbatimin e konsultimeve në ministri dhe si duhet dhe do të adresohen ato në periudhën tjetër të raportimit?)</w:t>
      </w:r>
      <w:r w:rsidRPr="0089420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 xml:space="preserve"> </w:t>
      </w:r>
    </w:p>
    <w:p w14:paraId="722FB0C9" w14:textId="77777777" w:rsidR="00424F5D" w:rsidRPr="00894205" w:rsidRDefault="00424F5D" w:rsidP="00424F5D">
      <w:pPr>
        <w:spacing w:after="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A9E0AF4" w14:textId="77777777" w:rsidR="00424F5D" w:rsidRPr="00894205" w:rsidRDefault="00424F5D" w:rsidP="00424F5D">
      <w:pPr>
        <w:spacing w:after="13" w:line="276" w:lineRule="auto"/>
        <w:ind w:left="-10" w:right="11" w:hanging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9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Sfidat kryesore që paraqet konsultimi publik për Ministrinë e Financave, lidhen më së shumti me gjithëpërfshirjen e aktorëve në këtë proçes. Ministria e Financave do të synojë që vitit 2025 të ketë përfshirje aktive të shumë aktorëve në procesin e dhënies së rekomandimeve apo qëndrimeve për përmbajtjen e projektakteve që hartohen duke kombinuar dhe përdorur disa metoda të proçesit të konsultimit publik, si mundësia më e mirë për të arritur një rezultat efikas në të ardhmen. Gjithashtu, vlerësohet se edhe angazhimi nëpërmjet rrjeteve sociale duke u realizuar edhe në kombinim me metodat e tjera të konsultimit publik do të sjellë rritje të përfshirjes dhe mundësive në këtë kuadër.  </w:t>
      </w:r>
    </w:p>
    <w:p w14:paraId="0C16F6E7" w14:textId="77777777" w:rsidR="00424F5D" w:rsidRPr="00894205" w:rsidRDefault="00424F5D" w:rsidP="00424F5D">
      <w:pPr>
        <w:jc w:val="both"/>
      </w:pPr>
    </w:p>
    <w:p w14:paraId="2BAAD6ED" w14:textId="77777777" w:rsidR="00A14DF0" w:rsidRDefault="00A14DF0"/>
    <w:sectPr w:rsidR="00A14DF0" w:rsidSect="00424F5D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E40C" w14:textId="77777777" w:rsidR="00641E5B" w:rsidRPr="00894205" w:rsidRDefault="00641E5B" w:rsidP="00424F5D">
      <w:pPr>
        <w:spacing w:after="0" w:line="240" w:lineRule="auto"/>
      </w:pPr>
      <w:r w:rsidRPr="00894205">
        <w:separator/>
      </w:r>
    </w:p>
  </w:endnote>
  <w:endnote w:type="continuationSeparator" w:id="0">
    <w:p w14:paraId="58C7A6FA" w14:textId="77777777" w:rsidR="00641E5B" w:rsidRPr="00894205" w:rsidRDefault="00641E5B" w:rsidP="00424F5D">
      <w:pPr>
        <w:spacing w:after="0" w:line="240" w:lineRule="auto"/>
      </w:pPr>
      <w:r w:rsidRPr="008942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366686"/>
      <w:docPartObj>
        <w:docPartGallery w:val="Page Numbers (Bottom of Page)"/>
        <w:docPartUnique/>
      </w:docPartObj>
    </w:sdtPr>
    <w:sdtContent>
      <w:p w14:paraId="379A4B6D" w14:textId="77777777" w:rsidR="00E2260B" w:rsidRPr="00894205" w:rsidRDefault="00000000">
        <w:pPr>
          <w:pStyle w:val="Footer"/>
          <w:jc w:val="right"/>
        </w:pPr>
        <w:r w:rsidRPr="00894205">
          <w:fldChar w:fldCharType="begin"/>
        </w:r>
        <w:r w:rsidRPr="00894205">
          <w:instrText xml:space="preserve"> PAGE   \* MERGEFORMAT </w:instrText>
        </w:r>
        <w:r w:rsidRPr="00894205">
          <w:fldChar w:fldCharType="separate"/>
        </w:r>
        <w:r w:rsidRPr="00894205">
          <w:t>2</w:t>
        </w:r>
        <w:r w:rsidRPr="00894205">
          <w:fldChar w:fldCharType="end"/>
        </w:r>
      </w:p>
    </w:sdtContent>
  </w:sdt>
  <w:p w14:paraId="354C56E9" w14:textId="77777777" w:rsidR="00E2260B" w:rsidRPr="00894205" w:rsidRDefault="00E22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E721" w14:textId="77777777" w:rsidR="00641E5B" w:rsidRPr="00894205" w:rsidRDefault="00641E5B" w:rsidP="00424F5D">
      <w:pPr>
        <w:spacing w:after="0" w:line="240" w:lineRule="auto"/>
      </w:pPr>
      <w:r w:rsidRPr="00894205">
        <w:separator/>
      </w:r>
    </w:p>
  </w:footnote>
  <w:footnote w:type="continuationSeparator" w:id="0">
    <w:p w14:paraId="6444E676" w14:textId="77777777" w:rsidR="00641E5B" w:rsidRPr="00894205" w:rsidRDefault="00641E5B" w:rsidP="00424F5D">
      <w:pPr>
        <w:spacing w:after="0" w:line="240" w:lineRule="auto"/>
      </w:pPr>
      <w:r w:rsidRPr="00894205">
        <w:continuationSeparator/>
      </w:r>
    </w:p>
  </w:footnote>
  <w:footnote w:id="1">
    <w:p w14:paraId="61D20888" w14:textId="2ABFE622" w:rsidR="00424F5D" w:rsidRPr="00894205" w:rsidRDefault="00424F5D" w:rsidP="00424F5D">
      <w:pPr>
        <w:pStyle w:val="footnotedescription"/>
        <w:spacing w:after="0"/>
        <w:rPr>
          <w:lang w:val="sq-AL"/>
        </w:rPr>
      </w:pPr>
      <w:r w:rsidRPr="00894205">
        <w:rPr>
          <w:rStyle w:val="footnotemark"/>
          <w:lang w:val="sq-AL"/>
        </w:rPr>
        <w:footnoteRef/>
      </w:r>
      <w:r w:rsidRPr="00894205">
        <w:rPr>
          <w:lang w:val="sq-AL"/>
        </w:rPr>
        <w:t xml:space="preserve"> https://</w:t>
      </w:r>
      <w:r w:rsidR="00BC3A68">
        <w:rPr>
          <w:lang w:val="sq-AL"/>
        </w:rPr>
        <w:t>www</w:t>
      </w:r>
      <w:r w:rsidRPr="00894205">
        <w:rPr>
          <w:lang w:val="sq-AL"/>
        </w:rPr>
        <w:t xml:space="preserve">.konsultimipublik.gov.al/Konsultime/Institucioni/4 </w:t>
      </w:r>
      <w:r w:rsidRPr="00894205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</w:p>
  </w:footnote>
  <w:footnote w:id="2">
    <w:p w14:paraId="519E3035" w14:textId="7FC9987B" w:rsidR="00424F5D" w:rsidRPr="00894205" w:rsidRDefault="00424F5D" w:rsidP="00424F5D">
      <w:pPr>
        <w:pStyle w:val="footnotedescription"/>
        <w:rPr>
          <w:lang w:val="sq-AL"/>
        </w:rPr>
      </w:pPr>
      <w:r w:rsidRPr="00894205">
        <w:rPr>
          <w:rStyle w:val="footnotemark"/>
          <w:lang w:val="sq-AL"/>
        </w:rPr>
        <w:footnoteRef/>
      </w:r>
      <w:r w:rsidRPr="00894205">
        <w:rPr>
          <w:lang w:val="sq-AL"/>
        </w:rPr>
        <w:t xml:space="preserve"> https://</w:t>
      </w:r>
      <w:r w:rsidR="00771655">
        <w:rPr>
          <w:lang w:val="sq-AL"/>
        </w:rPr>
        <w:t>www</w:t>
      </w:r>
      <w:r w:rsidRPr="00894205">
        <w:rPr>
          <w:lang w:val="sq-AL"/>
        </w:rPr>
        <w:t xml:space="preserve">.konsultimipublik.gov.al/Konsultime/Institucioni/4 </w:t>
      </w:r>
    </w:p>
    <w:p w14:paraId="3CAC4330" w14:textId="77777777" w:rsidR="00424F5D" w:rsidRDefault="00424F5D" w:rsidP="00424F5D">
      <w:pPr>
        <w:pStyle w:val="footnotedescription"/>
        <w:spacing w:after="0"/>
        <w:jc w:val="right"/>
      </w:pPr>
      <w:r w:rsidRPr="00894205">
        <w:rPr>
          <w:rFonts w:ascii="Calibri" w:eastAsia="Calibri" w:hAnsi="Calibri" w:cs="Calibri"/>
          <w:sz w:val="22"/>
          <w:lang w:val="sq-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61C"/>
    <w:multiLevelType w:val="multilevel"/>
    <w:tmpl w:val="03E84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  <w:i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" w15:restartNumberingAfterBreak="0">
    <w:nsid w:val="0ADD7E74"/>
    <w:multiLevelType w:val="hybridMultilevel"/>
    <w:tmpl w:val="0D56D8F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DDD191E"/>
    <w:multiLevelType w:val="hybridMultilevel"/>
    <w:tmpl w:val="8BCEC5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52597"/>
    <w:multiLevelType w:val="hybridMultilevel"/>
    <w:tmpl w:val="35987D3C"/>
    <w:lvl w:ilvl="0" w:tplc="DA268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06A0C"/>
    <w:multiLevelType w:val="hybridMultilevel"/>
    <w:tmpl w:val="35987D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0EA4"/>
    <w:multiLevelType w:val="hybridMultilevel"/>
    <w:tmpl w:val="2FD0B43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C6A28"/>
    <w:multiLevelType w:val="multilevel"/>
    <w:tmpl w:val="8AEE431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2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684349"/>
    <w:multiLevelType w:val="hybridMultilevel"/>
    <w:tmpl w:val="14428CAA"/>
    <w:lvl w:ilvl="0" w:tplc="0409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55A73023"/>
    <w:multiLevelType w:val="hybridMultilevel"/>
    <w:tmpl w:val="35987D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E6893"/>
    <w:multiLevelType w:val="hybridMultilevel"/>
    <w:tmpl w:val="6E2AB82A"/>
    <w:lvl w:ilvl="0" w:tplc="C1627B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50A76"/>
    <w:multiLevelType w:val="hybridMultilevel"/>
    <w:tmpl w:val="E16C7B5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F4C42"/>
    <w:multiLevelType w:val="hybridMultilevel"/>
    <w:tmpl w:val="A30A1DC8"/>
    <w:lvl w:ilvl="0" w:tplc="0EE01EF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514A8"/>
    <w:multiLevelType w:val="hybridMultilevel"/>
    <w:tmpl w:val="854C4FA8"/>
    <w:lvl w:ilvl="0" w:tplc="C03655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A5910"/>
    <w:multiLevelType w:val="multilevel"/>
    <w:tmpl w:val="0340F23E"/>
    <w:lvl w:ilvl="0">
      <w:start w:val="2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861095">
    <w:abstractNumId w:val="13"/>
  </w:num>
  <w:num w:numId="2" w16cid:durableId="298922054">
    <w:abstractNumId w:val="6"/>
  </w:num>
  <w:num w:numId="3" w16cid:durableId="451290657">
    <w:abstractNumId w:val="3"/>
  </w:num>
  <w:num w:numId="4" w16cid:durableId="1970083553">
    <w:abstractNumId w:val="5"/>
  </w:num>
  <w:num w:numId="5" w16cid:durableId="1867984460">
    <w:abstractNumId w:val="0"/>
  </w:num>
  <w:num w:numId="6" w16cid:durableId="1350134570">
    <w:abstractNumId w:val="10"/>
  </w:num>
  <w:num w:numId="7" w16cid:durableId="1428191366">
    <w:abstractNumId w:val="2"/>
  </w:num>
  <w:num w:numId="8" w16cid:durableId="1978099827">
    <w:abstractNumId w:val="7"/>
  </w:num>
  <w:num w:numId="9" w16cid:durableId="1515151859">
    <w:abstractNumId w:val="12"/>
  </w:num>
  <w:num w:numId="10" w16cid:durableId="1170487231">
    <w:abstractNumId w:val="9"/>
  </w:num>
  <w:num w:numId="11" w16cid:durableId="257641362">
    <w:abstractNumId w:val="4"/>
  </w:num>
  <w:num w:numId="12" w16cid:durableId="1826312040">
    <w:abstractNumId w:val="8"/>
  </w:num>
  <w:num w:numId="13" w16cid:durableId="1924947326">
    <w:abstractNumId w:val="1"/>
  </w:num>
  <w:num w:numId="14" w16cid:durableId="376295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5D"/>
    <w:rsid w:val="000637B6"/>
    <w:rsid w:val="00137D17"/>
    <w:rsid w:val="00197E5E"/>
    <w:rsid w:val="003E4DE7"/>
    <w:rsid w:val="003E5C19"/>
    <w:rsid w:val="003F5EDA"/>
    <w:rsid w:val="00424F5D"/>
    <w:rsid w:val="004C7B9D"/>
    <w:rsid w:val="00532291"/>
    <w:rsid w:val="0054341A"/>
    <w:rsid w:val="005723D3"/>
    <w:rsid w:val="00602FE6"/>
    <w:rsid w:val="00641E5B"/>
    <w:rsid w:val="00692F28"/>
    <w:rsid w:val="006D1C94"/>
    <w:rsid w:val="006F6A7C"/>
    <w:rsid w:val="007403A6"/>
    <w:rsid w:val="00764A65"/>
    <w:rsid w:val="00771655"/>
    <w:rsid w:val="00772A50"/>
    <w:rsid w:val="007A7701"/>
    <w:rsid w:val="00840B8B"/>
    <w:rsid w:val="00894205"/>
    <w:rsid w:val="009674AA"/>
    <w:rsid w:val="009702FB"/>
    <w:rsid w:val="00A14DF0"/>
    <w:rsid w:val="00A241C7"/>
    <w:rsid w:val="00A53E45"/>
    <w:rsid w:val="00A57EEC"/>
    <w:rsid w:val="00AF5F49"/>
    <w:rsid w:val="00B0596B"/>
    <w:rsid w:val="00B10D42"/>
    <w:rsid w:val="00B566F7"/>
    <w:rsid w:val="00B77A7F"/>
    <w:rsid w:val="00B93422"/>
    <w:rsid w:val="00BC3A68"/>
    <w:rsid w:val="00BD5326"/>
    <w:rsid w:val="00C01C12"/>
    <w:rsid w:val="00C108D1"/>
    <w:rsid w:val="00C44500"/>
    <w:rsid w:val="00C46FEB"/>
    <w:rsid w:val="00C502B7"/>
    <w:rsid w:val="00C513B1"/>
    <w:rsid w:val="00C65478"/>
    <w:rsid w:val="00C85F7F"/>
    <w:rsid w:val="00CC0CBC"/>
    <w:rsid w:val="00CC1F6A"/>
    <w:rsid w:val="00CE1E58"/>
    <w:rsid w:val="00CF1B31"/>
    <w:rsid w:val="00D01B2C"/>
    <w:rsid w:val="00D257C3"/>
    <w:rsid w:val="00D52361"/>
    <w:rsid w:val="00DD5049"/>
    <w:rsid w:val="00DF551A"/>
    <w:rsid w:val="00DF5D5F"/>
    <w:rsid w:val="00E2260B"/>
    <w:rsid w:val="00E25CED"/>
    <w:rsid w:val="00E26CDB"/>
    <w:rsid w:val="00F75A45"/>
    <w:rsid w:val="00F80247"/>
    <w:rsid w:val="00FC06AE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C25A"/>
  <w15:chartTrackingRefBased/>
  <w15:docId w15:val="{D9C2F357-78E1-43B0-9230-F79ABC6F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5D"/>
    <w:pPr>
      <w:spacing w:line="259" w:lineRule="auto"/>
    </w:pPr>
    <w:rPr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F5D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al"/>
    <w:link w:val="footnotedescriptionChar"/>
    <w:hidden/>
    <w:rsid w:val="00424F5D"/>
    <w:pPr>
      <w:spacing w:after="215" w:line="240" w:lineRule="auto"/>
    </w:pPr>
    <w:rPr>
      <w:rFonts w:ascii="Book Antiqua" w:eastAsia="Book Antiqua" w:hAnsi="Book Antiqua" w:cs="Book Antiqua"/>
      <w:color w:val="000000"/>
      <w:kern w:val="0"/>
      <w:sz w:val="19"/>
      <w:szCs w:val="22"/>
      <w14:ligatures w14:val="none"/>
    </w:rPr>
  </w:style>
  <w:style w:type="character" w:customStyle="1" w:styleId="footnotedescriptionChar">
    <w:name w:val="footnote description Char"/>
    <w:link w:val="footnotedescription"/>
    <w:rsid w:val="00424F5D"/>
    <w:rPr>
      <w:rFonts w:ascii="Book Antiqua" w:eastAsia="Book Antiqua" w:hAnsi="Book Antiqua" w:cs="Book Antiqua"/>
      <w:color w:val="000000"/>
      <w:kern w:val="0"/>
      <w:sz w:val="19"/>
      <w:szCs w:val="22"/>
      <w14:ligatures w14:val="none"/>
    </w:rPr>
  </w:style>
  <w:style w:type="character" w:customStyle="1" w:styleId="footnotemark">
    <w:name w:val="footnote mark"/>
    <w:hidden/>
    <w:rsid w:val="00424F5D"/>
    <w:rPr>
      <w:rFonts w:ascii="Book Antiqua" w:eastAsia="Book Antiqua" w:hAnsi="Book Antiqua" w:cs="Book Antiqua"/>
      <w:color w:val="000000"/>
      <w:sz w:val="19"/>
      <w:vertAlign w:val="superscript"/>
    </w:rPr>
  </w:style>
  <w:style w:type="table" w:customStyle="1" w:styleId="GridTable4-Accent51">
    <w:name w:val="Grid Table 4 - Accent 51"/>
    <w:basedOn w:val="TableNormal"/>
    <w:uiPriority w:val="49"/>
    <w:rsid w:val="00424F5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424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5D"/>
    <w:rPr>
      <w:sz w:val="22"/>
      <w:szCs w:val="22"/>
    </w:rPr>
  </w:style>
  <w:style w:type="paragraph" w:styleId="NoSpacing">
    <w:name w:val="No Spacing"/>
    <w:uiPriority w:val="1"/>
    <w:qFormat/>
    <w:rsid w:val="00424F5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q-A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 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q-A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Regjistri Elektronik të Njoftimit dhe Konsultimit Publik</c:v>
                </c:pt>
                <c:pt idx="1">
                  <c:v>Konsultimi nepërmjet postës elektronike</c:v>
                </c:pt>
                <c:pt idx="2">
                  <c:v>Konsultim nëpërmjet mekanizmit IPMG</c:v>
                </c:pt>
                <c:pt idx="3">
                  <c:v>Takime konsultative me prezencë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91-47B7-A86A-838D6A3233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553142207"/>
        <c:axId val="1553368415"/>
      </c:barChart>
      <c:catAx>
        <c:axId val="1553142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q-AL"/>
          </a:p>
        </c:txPr>
        <c:crossAx val="1553368415"/>
        <c:crosses val="autoZero"/>
        <c:auto val="1"/>
        <c:lblAlgn val="ctr"/>
        <c:lblOffset val="100"/>
        <c:noMultiLvlLbl val="0"/>
      </c:catAx>
      <c:valAx>
        <c:axId val="155336841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5314220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q-AL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rgbClr val="156082">
        <a:lumMod val="75000"/>
      </a:srgbClr>
    </a:solidFill>
    <a:ln>
      <a:solidFill>
        <a:srgbClr val="A02B93">
          <a:lumMod val="20000"/>
          <a:lumOff val="80000"/>
        </a:srgbClr>
      </a:solidFill>
    </a:ln>
    <a:effectLst/>
  </c:spPr>
  <c:txPr>
    <a:bodyPr/>
    <a:lstStyle/>
    <a:p>
      <a:pPr>
        <a:defRPr/>
      </a:pPr>
      <a:endParaRPr lang="sq-A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648-4BEC-99C8-3DC5C279EFB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648-4BEC-99C8-3DC5C279EFB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648-4BEC-99C8-3DC5C279EFB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q-A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Komente te pranuara plotësisht</c:v>
                </c:pt>
                <c:pt idx="1">
                  <c:v>Komente te pranuara pjesërisht</c:v>
                </c:pt>
                <c:pt idx="2">
                  <c:v>Komente të refuzuara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648-4BEC-99C8-3DC5C279EF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q-AL"/>
        </a:p>
      </c:txPr>
    </c:legend>
    <c:plotVisOnly val="1"/>
    <c:dispBlanksAs val="gap"/>
    <c:showDLblsOverMax val="0"/>
  </c:chart>
  <c:spPr>
    <a:solidFill>
      <a:srgbClr val="156082">
        <a:lumMod val="60000"/>
        <a:lumOff val="40000"/>
      </a:srgbClr>
    </a:solidFill>
    <a:ln>
      <a:noFill/>
    </a:ln>
    <a:effectLst/>
  </c:spPr>
  <c:txPr>
    <a:bodyPr/>
    <a:lstStyle/>
    <a:p>
      <a:pPr>
        <a:defRPr/>
      </a:pPr>
      <a:endParaRPr lang="sq-A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8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Prende Cubi</dc:creator>
  <cp:keywords/>
  <dc:description/>
  <cp:lastModifiedBy>Prende Cubi</cp:lastModifiedBy>
  <cp:revision>29</cp:revision>
  <dcterms:created xsi:type="dcterms:W3CDTF">2026-01-12T10:24:00Z</dcterms:created>
  <dcterms:modified xsi:type="dcterms:W3CDTF">2026-02-02T11:24:00Z</dcterms:modified>
</cp:coreProperties>
</file>